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4B155">
      <w:pPr>
        <w:jc w:val="center"/>
      </w:pPr>
      <w:r>
        <w:rPr>
          <w:b/>
          <w:sz w:val="36"/>
        </w:rPr>
        <w:t>IronAI Product Naming &amp; Configuration Guidelines</w:t>
      </w:r>
    </w:p>
    <w:p w14:paraId="2FDBB6A0">
      <w:pPr>
        <w:spacing w:before="180" w:after="80"/>
      </w:pPr>
      <w:r>
        <w:rPr>
          <w:b/>
          <w:sz w:val="24"/>
        </w:rPr>
        <w:t>1. Official IronAI Product Naming</w:t>
      </w:r>
    </w:p>
    <w:p w14:paraId="6C2FA45F">
      <w:pPr>
        <w:spacing w:after="100" w:line="276" w:lineRule="auto"/>
      </w:pPr>
      <w:r>
        <w:t>EIB100 (formerly referred to as the AI voice box) is now officially named: IronAI TalkX - Intelligent Conversation System.</w:t>
      </w:r>
    </w:p>
    <w:p w14:paraId="678AE7D3">
      <w:pPr>
        <w:spacing w:after="100" w:line="276" w:lineRule="auto"/>
      </w:pPr>
      <w:r>
        <w:t>The remaining IronAI systems should be referred to as follows: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0"/>
        <w:gridCol w:w="5020"/>
      </w:tblGrid>
      <w:tr w14:paraId="4EC6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shd w:val="clear" w:color="auto" w:fill="E7E6E6"/>
            <w:vAlign w:val="center"/>
          </w:tcPr>
          <w:p w14:paraId="638139E5">
            <w:pPr>
              <w:spacing w:after="0" w:line="240" w:lineRule="auto"/>
            </w:pPr>
            <w:r>
              <w:rPr>
                <w:b/>
                <w:sz w:val="19"/>
              </w:rPr>
              <w:t>Model Code</w:t>
            </w:r>
          </w:p>
        </w:tc>
        <w:tc>
          <w:tcPr>
            <w:tcW w:w="5020" w:type="dxa"/>
            <w:shd w:val="clear" w:color="auto" w:fill="E7E6E6"/>
            <w:vAlign w:val="center"/>
          </w:tcPr>
          <w:p w14:paraId="7C47F048">
            <w:pPr>
              <w:spacing w:after="0" w:line="240" w:lineRule="auto"/>
            </w:pPr>
            <w:r>
              <w:rPr>
                <w:b/>
                <w:sz w:val="19"/>
              </w:rPr>
              <w:t>Official Product Name</w:t>
            </w:r>
          </w:p>
        </w:tc>
      </w:tr>
      <w:tr w14:paraId="6AE3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shd w:val="clear" w:color="auto" w:fill="DBEEF3" w:themeFill="accent5" w:themeFillTint="32"/>
            <w:vAlign w:val="center"/>
          </w:tcPr>
          <w:p w14:paraId="616F84F1">
            <w:pPr>
              <w:spacing w:after="0" w:line="240" w:lineRule="auto"/>
            </w:pPr>
            <w:r>
              <w:rPr>
                <w:sz w:val="19"/>
              </w:rPr>
              <w:t>EIB100</w:t>
            </w:r>
          </w:p>
        </w:tc>
        <w:tc>
          <w:tcPr>
            <w:tcW w:w="5020" w:type="dxa"/>
            <w:shd w:val="clear" w:color="auto" w:fill="DBEEF3" w:themeFill="accent5" w:themeFillTint="32"/>
            <w:vAlign w:val="center"/>
          </w:tcPr>
          <w:p w14:paraId="2A73EE3E">
            <w:pPr>
              <w:spacing w:after="0" w:line="240" w:lineRule="auto"/>
            </w:pPr>
            <w:r>
              <w:rPr>
                <w:sz w:val="19"/>
              </w:rPr>
              <w:t>IronAI TalkX</w:t>
            </w:r>
          </w:p>
        </w:tc>
      </w:tr>
      <w:tr w14:paraId="7E54F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shd w:val="clear" w:color="auto" w:fill="DBEEF3" w:themeFill="accent5" w:themeFillTint="32"/>
            <w:vAlign w:val="center"/>
          </w:tcPr>
          <w:p w14:paraId="33A6AE64">
            <w:pPr>
              <w:spacing w:after="0" w:line="240" w:lineRule="auto"/>
            </w:pPr>
            <w:r>
              <w:rPr>
                <w:sz w:val="19"/>
              </w:rPr>
              <w:t>EIB101</w:t>
            </w:r>
          </w:p>
        </w:tc>
        <w:tc>
          <w:tcPr>
            <w:tcW w:w="5020" w:type="dxa"/>
            <w:shd w:val="clear" w:color="auto" w:fill="DBEEF3" w:themeFill="accent5" w:themeFillTint="32"/>
            <w:vAlign w:val="center"/>
          </w:tcPr>
          <w:p w14:paraId="01231DB5">
            <w:pPr>
              <w:spacing w:after="0" w:line="240" w:lineRule="auto"/>
            </w:pPr>
            <w:r>
              <w:rPr>
                <w:sz w:val="19"/>
              </w:rPr>
              <w:t>IronAI CoreAI</w:t>
            </w:r>
          </w:p>
        </w:tc>
      </w:tr>
      <w:tr w14:paraId="6C4A7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4A0E0081">
            <w:pPr>
              <w:spacing w:after="0" w:line="240" w:lineRule="auto"/>
            </w:pPr>
            <w:r>
              <w:rPr>
                <w:sz w:val="19"/>
              </w:rPr>
              <w:t>EIB300</w:t>
            </w:r>
          </w:p>
        </w:tc>
        <w:tc>
          <w:tcPr>
            <w:tcW w:w="5020" w:type="dxa"/>
            <w:vAlign w:val="center"/>
          </w:tcPr>
          <w:p w14:paraId="5BD6A5F1">
            <w:pPr>
              <w:spacing w:after="0" w:line="240" w:lineRule="auto"/>
            </w:pPr>
            <w:r>
              <w:rPr>
                <w:sz w:val="19"/>
              </w:rPr>
              <w:t>IronAI OralX</w:t>
            </w:r>
          </w:p>
        </w:tc>
      </w:tr>
      <w:tr w14:paraId="0B92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772E2FF0">
            <w:pPr>
              <w:spacing w:after="0" w:line="240" w:lineRule="auto"/>
            </w:pPr>
            <w:r>
              <w:rPr>
                <w:sz w:val="19"/>
              </w:rPr>
              <w:t>EIB301</w:t>
            </w:r>
          </w:p>
        </w:tc>
        <w:tc>
          <w:tcPr>
            <w:tcW w:w="5020" w:type="dxa"/>
            <w:vAlign w:val="center"/>
          </w:tcPr>
          <w:p w14:paraId="1DEB6990">
            <w:pPr>
              <w:spacing w:after="0" w:line="240" w:lineRule="auto"/>
            </w:pPr>
            <w:r>
              <w:rPr>
                <w:sz w:val="19"/>
              </w:rPr>
              <w:t>IronAI HipX</w:t>
            </w:r>
          </w:p>
        </w:tc>
      </w:tr>
      <w:tr w14:paraId="3313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31C7516B">
            <w:pPr>
              <w:spacing w:after="0" w:line="240" w:lineRule="auto"/>
            </w:pPr>
            <w:r>
              <w:rPr>
                <w:sz w:val="19"/>
              </w:rPr>
              <w:t>EIB302</w:t>
            </w:r>
          </w:p>
        </w:tc>
        <w:tc>
          <w:tcPr>
            <w:tcW w:w="5020" w:type="dxa"/>
            <w:vAlign w:val="center"/>
          </w:tcPr>
          <w:p w14:paraId="2078526D">
            <w:pPr>
              <w:spacing w:after="0" w:line="240" w:lineRule="auto"/>
            </w:pPr>
            <w:r>
              <w:rPr>
                <w:sz w:val="19"/>
              </w:rPr>
              <w:t>IronAI DualX</w:t>
            </w:r>
            <w:r>
              <w:rPr>
                <w:sz w:val="19"/>
              </w:rPr>
              <w:br w:type="textWrapping"/>
            </w:r>
            <w:r>
              <w:rPr>
                <w:sz w:val="19"/>
              </w:rPr>
              <w:t>(IronAI Oral &amp; Hip SyncX)</w:t>
            </w:r>
          </w:p>
        </w:tc>
      </w:tr>
      <w:tr w14:paraId="4218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shd w:val="clear" w:color="auto" w:fill="DBEEF3" w:themeFill="accent5" w:themeFillTint="32"/>
            <w:vAlign w:val="center"/>
          </w:tcPr>
          <w:p w14:paraId="6B76E5DC">
            <w:pPr>
              <w:spacing w:after="0" w:line="240" w:lineRule="auto"/>
            </w:pPr>
            <w:r>
              <w:rPr>
                <w:sz w:val="19"/>
              </w:rPr>
              <w:t>EIB500</w:t>
            </w:r>
          </w:p>
        </w:tc>
        <w:tc>
          <w:tcPr>
            <w:tcW w:w="5020" w:type="dxa"/>
            <w:shd w:val="clear" w:color="auto" w:fill="DBEEF3" w:themeFill="accent5" w:themeFillTint="32"/>
            <w:vAlign w:val="center"/>
          </w:tcPr>
          <w:p w14:paraId="2E4EE250">
            <w:pPr>
              <w:spacing w:after="0" w:line="240" w:lineRule="auto"/>
            </w:pPr>
            <w:r>
              <w:rPr>
                <w:sz w:val="19"/>
              </w:rPr>
              <w:t>IronAI Bionic VaginaX</w:t>
            </w:r>
          </w:p>
        </w:tc>
      </w:tr>
    </w:tbl>
    <w:p w14:paraId="002710CE">
      <w:pPr>
        <w:spacing w:after="100" w:line="276" w:lineRule="auto"/>
      </w:pPr>
      <w:r>
        <w:t>Sales note: Please use the official product names above in customer communication, quotations, product options, and dealer materials. Model codes may be retained for internal identification or reference.</w:t>
      </w:r>
    </w:p>
    <w:p w14:paraId="0C578C3D">
      <w:pPr>
        <w:spacing w:before="180" w:after="80"/>
      </w:pPr>
      <w:r>
        <w:rPr>
          <w:b/>
          <w:sz w:val="24"/>
        </w:rPr>
        <w:t>2. Selection Rule: IronAI Bionic VaginaX vs. IronAI TalkX</w:t>
      </w:r>
    </w:p>
    <w:p w14:paraId="7FE371E0">
      <w:pPr>
        <w:spacing w:after="100" w:line="276" w:lineRule="auto"/>
      </w:pPr>
      <w:r>
        <w:t>If IronAI Bionic VaginaX is selected, IronAI TalkX does not need to be selected separately. IronAI Bionic VaginaX already includes voice feedback/interaction functionality, so the two options should not be duplicated.</w:t>
      </w:r>
    </w:p>
    <w:p w14:paraId="7DE92666">
      <w:pPr>
        <w:spacing w:before="180" w:after="80"/>
      </w:pPr>
      <w:r>
        <w:rPr>
          <w:b/>
          <w:sz w:val="24"/>
        </w:rPr>
        <w:t>3. IronAI Bionic VaginaX and Removed Legacy Options</w:t>
      </w:r>
    </w:p>
    <w:p w14:paraId="3BBA52F0">
      <w:pPr>
        <w:spacing w:after="100" w:line="276" w:lineRule="auto"/>
      </w:pPr>
      <w:r>
        <w:t>IronAI Bionic VaginaX is an independently developed Irontech bionic lower-body system integrating heating, clamping &amp; suction, and voice interaction.</w:t>
      </w:r>
    </w:p>
    <w:p w14:paraId="1F59242B">
      <w:pPr>
        <w:spacing w:after="100" w:line="276" w:lineRule="auto"/>
      </w:pPr>
      <w:r>
        <w:t>As these functions are now integrated into IronAI Bionic VaginaX, the following former standalone website options have been removed and should no longer be sold separately:</w:t>
      </w:r>
    </w:p>
    <w:p w14:paraId="70CD60B1">
      <w:pPr>
        <w:pStyle w:val="16"/>
        <w:spacing w:after="40"/>
      </w:pPr>
      <w:r>
        <w:t>Vagina Automatic Clamp &amp; Suck</w:t>
      </w:r>
    </w:p>
    <w:p w14:paraId="23AF8EF3">
      <w:pPr>
        <w:pStyle w:val="16"/>
        <w:spacing w:after="40"/>
      </w:pPr>
      <w:r>
        <w:t>Moaning Function</w:t>
      </w:r>
    </w:p>
    <w:p w14:paraId="7492FDC3">
      <w:pPr>
        <w:spacing w:before="180" w:after="80"/>
      </w:pPr>
      <w:r>
        <w:rPr>
          <w:b/>
          <w:sz w:val="24"/>
        </w:rPr>
        <w:t>4. Compatibility Restrictions for IronAI Bionic VaginaX</w:t>
      </w:r>
    </w:p>
    <w:p w14:paraId="36AB24B3">
      <w:pPr>
        <w:pStyle w:val="16"/>
        <w:spacing w:after="40"/>
      </w:pPr>
      <w:r>
        <w:t>IronAI Bionic VaginaX is not compatible with an anal-function configuration.</w:t>
      </w:r>
    </w:p>
    <w:p w14:paraId="7F95D3B8">
      <w:pPr>
        <w:pStyle w:val="16"/>
        <w:spacing w:after="40"/>
      </w:pPr>
      <w:r>
        <w:t>IronAI Bionic VaginaX is not available for detachable/separate lower-body configurations.</w:t>
      </w:r>
    </w:p>
    <w:p w14:paraId="53D71759">
      <w:pPr>
        <w:pStyle w:val="16"/>
        <w:spacing w:after="40"/>
      </w:pPr>
      <w:r>
        <w:t>IronAI Bionic VaginaX is temporarily unavailable for TPE products.</w:t>
      </w:r>
    </w:p>
    <w:p w14:paraId="3D6722F2">
      <w:pPr>
        <w:spacing w:before="180" w:after="80"/>
      </w:pPr>
      <w:r>
        <w:rPr>
          <w:b/>
          <w:sz w:val="24"/>
        </w:rPr>
        <w:t>5. Quick Reference for Sales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0"/>
        <w:gridCol w:w="5020"/>
      </w:tblGrid>
      <w:tr w14:paraId="4138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shd w:val="clear" w:color="auto" w:fill="E7E6E6"/>
            <w:vAlign w:val="center"/>
          </w:tcPr>
          <w:p w14:paraId="5DEE21ED">
            <w:pPr>
              <w:spacing w:after="0" w:line="240" w:lineRule="auto"/>
            </w:pPr>
            <w:r>
              <w:rPr>
                <w:b/>
                <w:sz w:val="19"/>
              </w:rPr>
              <w:t>Customer Configuration</w:t>
            </w:r>
          </w:p>
        </w:tc>
        <w:tc>
          <w:tcPr>
            <w:tcW w:w="5020" w:type="dxa"/>
            <w:shd w:val="clear" w:color="auto" w:fill="E7E6E6"/>
            <w:vAlign w:val="center"/>
          </w:tcPr>
          <w:p w14:paraId="771F2A03">
            <w:pPr>
              <w:spacing w:after="0" w:line="240" w:lineRule="auto"/>
            </w:pPr>
            <w:r>
              <w:rPr>
                <w:b/>
                <w:sz w:val="19"/>
              </w:rPr>
              <w:t>Sales Action</w:t>
            </w:r>
          </w:p>
        </w:tc>
      </w:tr>
      <w:tr w14:paraId="2AD7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3189BE26">
            <w:pPr>
              <w:spacing w:after="0" w:line="240" w:lineRule="auto"/>
            </w:pPr>
            <w:r>
              <w:rPr>
                <w:sz w:val="19"/>
              </w:rPr>
              <w:t>IronAI Bionic VaginaX selected</w:t>
            </w:r>
          </w:p>
        </w:tc>
        <w:tc>
          <w:tcPr>
            <w:tcW w:w="5020" w:type="dxa"/>
            <w:vAlign w:val="center"/>
          </w:tcPr>
          <w:p w14:paraId="29B23B81">
            <w:pPr>
              <w:spacing w:after="0" w:line="240" w:lineRule="auto"/>
            </w:pPr>
            <w:r>
              <w:rPr>
                <w:sz w:val="19"/>
              </w:rPr>
              <w:t>Do not add IronAI TalkX separately</w:t>
            </w:r>
          </w:p>
        </w:tc>
      </w:tr>
      <w:tr w14:paraId="6BA3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5E56D603">
            <w:pPr>
              <w:spacing w:after="0" w:line="240" w:lineRule="auto"/>
            </w:pPr>
            <w:r>
              <w:rPr>
                <w:sz w:val="19"/>
              </w:rPr>
              <w:t>TPE product</w:t>
            </w:r>
          </w:p>
        </w:tc>
        <w:tc>
          <w:tcPr>
            <w:tcW w:w="5020" w:type="dxa"/>
            <w:vAlign w:val="center"/>
          </w:tcPr>
          <w:p w14:paraId="0FB97B1B">
            <w:pPr>
              <w:spacing w:after="0" w:line="240" w:lineRule="auto"/>
            </w:pPr>
            <w:r>
              <w:rPr>
                <w:sz w:val="19"/>
              </w:rPr>
              <w:t>IronAI Bionic VaginaX is temporarily unavailable</w:t>
            </w:r>
          </w:p>
        </w:tc>
      </w:tr>
      <w:tr w14:paraId="6FFB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5F7CA744">
            <w:pPr>
              <w:spacing w:after="0" w:line="240" w:lineRule="auto"/>
            </w:pPr>
            <w:r>
              <w:rPr>
                <w:sz w:val="19"/>
              </w:rPr>
              <w:t>Anal function or detachable/separate lower body required</w:t>
            </w:r>
          </w:p>
        </w:tc>
        <w:tc>
          <w:tcPr>
            <w:tcW w:w="5020" w:type="dxa"/>
            <w:vAlign w:val="center"/>
          </w:tcPr>
          <w:p w14:paraId="12EB25C9">
            <w:pPr>
              <w:spacing w:after="0" w:line="240" w:lineRule="auto"/>
            </w:pPr>
            <w:r>
              <w:rPr>
                <w:sz w:val="19"/>
              </w:rPr>
              <w:t>IronAI Bionic VaginaX cannot be selected</w:t>
            </w:r>
          </w:p>
        </w:tc>
      </w:tr>
      <w:tr w14:paraId="0BC8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20" w:type="dxa"/>
            <w:vAlign w:val="center"/>
          </w:tcPr>
          <w:p w14:paraId="5FA395BE">
            <w:pPr>
              <w:spacing w:after="0" w:line="240" w:lineRule="auto"/>
            </w:pPr>
            <w:r>
              <w:rPr>
                <w:sz w:val="19"/>
              </w:rPr>
              <w:t>Customer asks for the former clamp &amp; suck or moaning options</w:t>
            </w:r>
          </w:p>
        </w:tc>
        <w:tc>
          <w:tcPr>
            <w:tcW w:w="5020" w:type="dxa"/>
            <w:vAlign w:val="center"/>
          </w:tcPr>
          <w:p w14:paraId="2E5A9E95">
            <w:pPr>
              <w:spacing w:after="0" w:line="240" w:lineRule="auto"/>
            </w:pPr>
            <w:r>
              <w:rPr>
                <w:sz w:val="19"/>
              </w:rPr>
              <w:t>Explain that the standalone options have been removed and the relevant functions are now integrated into IronAI Bionic VaginaX</w:t>
            </w:r>
          </w:p>
        </w:tc>
      </w:tr>
    </w:tbl>
    <w:p w14:paraId="6A470600">
      <w:pPr>
        <w:spacing w:after="100" w:line="276" w:lineRule="auto"/>
      </w:pPr>
      <w:r>
        <w:t>Please ensure all future customer communication and dealer materials follow these naming and configuration rules.</w:t>
      </w:r>
    </w:p>
    <w:sectPr>
      <w:pgSz w:w="12240" w:h="15840"/>
      <w:pgMar w:top="1000" w:right="1100" w:bottom="1000" w:left="11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31C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1923</Characters>
  <Lines>0</Lines>
  <Paragraphs>0</Paragraphs>
  <TotalTime>3</TotalTime>
  <ScaleCrop>false</ScaleCrop>
  <LinksUpToDate>false</LinksUpToDate>
  <CharactersWithSpaces>2198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Loey</cp:lastModifiedBy>
  <dcterms:modified xsi:type="dcterms:W3CDTF">2026-08-18T08:23:56Z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eyJoZGlkIjoiMDI0ZjNiNjY1NjkwNzBjYjFkNzNjYWU3ZjNhOThjOTUiLCJ1c2VySWQiOiIxMjMyNTQ3NTEwIn0=</vt:lpwstr>
  </property>
  <property fmtid="{D5CDD505-2E9C-101B-9397-08002B2CF9AE}" pid="3" name="KSOProductBuildVer">
    <vt:lpwstr>2052-12.1.0.28043</vt:lpwstr>
  </property>
  <property fmtid="{D5CDD505-2E9C-101B-9397-08002B2CF9AE}" pid="4" name="ICV">
    <vt:lpwstr>1C6EC1FF67FE4147832722855C848F99_12</vt:lpwstr>
  </property>
</Properties>
</file>